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LV-C[C4]-R[4-1-1-r-] Sustainability and resilience of a human-centred, comprehensive, integrated healthcare system</w:t>
      </w:r>
    </w:p>
    <w:p w:rsidR="00DC6807" w:rsidRPr="00905B9C" w:rsidP="01BD11D8" w14:paraId="4C22E5B9" w14:textId="470FD0EC">
      <w:pPr>
        <w:jc w:val="right"/>
        <w:rPr>
          <w:b/>
          <w:bCs/>
          <w:highlight w:val="cyan"/>
          <w:lang w:val="fr-BE"/>
        </w:rPr>
      </w:pPr>
      <w:r w:rsidRPr="00905B9C" w:rsidR="005B3C6E">
        <w:rPr>
          <w:b/>
          <w:bCs/>
          <w:lang w:val="fr-BE"/>
        </w:rPr>
        <w:t>LV-C[C4]-R[4-1-1-r-]-M[133] The genome reference of the Latvian population has been established (Latvia’s participation in the Genome for Europe project – GoLatvia project)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 xml:space="preserve">The objectives of the measure are to develop a human-centred, comprehensive, integrated healthcare system and ensure its sustainability and resilience. The reform consists of the development of new models for the delivery of effective integrated health services at all levels of healthcare (primary, secondary and tertiary). The reform aims to develop integrated care recommendations and an epidemiological safety framework. An investment strategy defining infrastructure investment needs shall be prepared by 31 December 2022. The reform shall also contain assessments of the provision of hospital services according to the hospital level and the mapping of hospital services. These elements together with the integrated care recommendations and epidemiological safety framework are prerequisites for the planned investments in the hospitals and secondary outpatient settings as per the investment: 4.1.1.2.i. and 4.1.1.3.i. In the field of oncology, the measure shall ensure the introduction of uniform methodological management by setting up and preparing for certifying a Latvian cancer care centre, as well as ensuring joint management, treatment and care, and establishing a network of hospitals specialising in the treatment and care of oncological patients. The investments in the genome project shall create, in accordance with the European “1+ Million Genomes” (1+MG) initiative, a representative collection of reference genome data of Latvian citizens, collecting genetic data samples donated by Latvian citizens. It aims to strengthen Latvia’s genetic research and digital capacity in order to facilitate secure matching and analysis of these data within the framework of the European 1+MG infrastructure. With a view to promoting integrated and patient-centred healthcare, improving the accessibility, quality and resource efficiency of health services, a Digital Health Sector Strategy shall be developed in cooperation with the World Health Organisation. This strategy shall serve as a way forward to </w:t>
        <w:cr/>
        <w:br/>
        <w:t>develop and deploy digital solutions in the health sector that are safe and meet the needs of the industry and its users.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C4.4-1-1-r- Sustainability and resilience of a human-centred, comprehensive, integrated healthcare system</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The genome reference of the Latvian population has been established (Latvia’s participation in the Genome for Europe project – GoLatvia project)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Genome reference established in Latvia</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genomic design documentation demonstrating the establishment of the Latvian population genome reference has been approved by the Ministry of Health</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genomic design documentation demonstrating the completion of the Genome project; b) a copy of the decision of the Ministry of Health approving the establishment of the Latvian population genome reference.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